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27006" w14:textId="672D98A7" w:rsidR="00E924E6" w:rsidRPr="00E924E6" w:rsidRDefault="00524C8C" w:rsidP="00E924E6">
      <w:pPr>
        <w:jc w:val="center"/>
        <w:rPr>
          <w:b/>
          <w:bCs/>
        </w:rPr>
      </w:pPr>
      <w:r w:rsidRPr="00E924E6">
        <w:rPr>
          <w:b/>
          <w:bCs/>
        </w:rPr>
        <w:t>Attachment C: Copy of the Transfer Guidelines</w:t>
      </w:r>
    </w:p>
    <w:p w14:paraId="48350E22" w14:textId="77777777" w:rsidR="00E924E6" w:rsidRPr="00526299" w:rsidRDefault="00E924E6" w:rsidP="00E924E6">
      <w:pPr>
        <w:pStyle w:val="ListParagraph"/>
        <w:tabs>
          <w:tab w:val="left" w:pos="4320"/>
        </w:tabs>
        <w:spacing w:after="0" w:line="240" w:lineRule="auto"/>
        <w:ind w:left="0"/>
        <w:rPr>
          <w:rFonts w:ascii="Times New Roman" w:hAnsi="Times New Roman" w:cs="Times New Roman"/>
          <w:sz w:val="20"/>
          <w:szCs w:val="20"/>
        </w:rPr>
      </w:pPr>
    </w:p>
    <w:p w14:paraId="200F3A7D" w14:textId="77777777" w:rsidR="00D33D17" w:rsidRPr="00D33D17" w:rsidRDefault="00D33D17" w:rsidP="00D33D17">
      <w:pPr>
        <w:spacing w:after="0" w:line="240" w:lineRule="auto"/>
        <w:jc w:val="center"/>
        <w:rPr>
          <w:rFonts w:ascii="Times New Roman" w:eastAsia="Times New Roman" w:hAnsi="Times New Roman" w:cs="Times New Roman"/>
          <w:b/>
          <w:kern w:val="0"/>
          <w:sz w:val="28"/>
          <w:szCs w:val="28"/>
          <w14:ligatures w14:val="none"/>
        </w:rPr>
      </w:pPr>
      <w:bookmarkStart w:id="0" w:name="_Hlk97111448"/>
      <w:r w:rsidRPr="00D33D17">
        <w:rPr>
          <w:rFonts w:ascii="Times New Roman" w:eastAsia="Times New Roman" w:hAnsi="Times New Roman" w:cs="Times New Roman"/>
          <w:b/>
          <w:kern w:val="0"/>
          <w:sz w:val="28"/>
          <w:szCs w:val="28"/>
          <w14:ligatures w14:val="none"/>
        </w:rPr>
        <w:t>Guidelines for Trauma Transfer</w:t>
      </w:r>
    </w:p>
    <w:bookmarkEnd w:id="0"/>
    <w:p w14:paraId="03439D36" w14:textId="77777777" w:rsidR="00D33D17" w:rsidRPr="00D33D17" w:rsidRDefault="00D33D17" w:rsidP="00D33D17">
      <w:pPr>
        <w:spacing w:after="0" w:line="240" w:lineRule="auto"/>
        <w:jc w:val="center"/>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Responsible Individual: Director, Emergency Department</w:t>
      </w:r>
    </w:p>
    <w:p w14:paraId="53F2E540" w14:textId="77777777" w:rsidR="00D33D17" w:rsidRPr="00D33D17" w:rsidRDefault="00D33D17" w:rsidP="00D33D17">
      <w:pPr>
        <w:spacing w:after="0" w:line="240" w:lineRule="auto"/>
        <w:jc w:val="center"/>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Approved By: Medical Executive Committee</w:t>
      </w:r>
    </w:p>
    <w:p w14:paraId="2851B0C7" w14:textId="77777777" w:rsidR="00D33D17" w:rsidRPr="00D33D17" w:rsidRDefault="00D33D17" w:rsidP="00D33D17">
      <w:pPr>
        <w:spacing w:after="0" w:line="240" w:lineRule="auto"/>
        <w:jc w:val="center"/>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September 2, 2024</w:t>
      </w:r>
    </w:p>
    <w:p w14:paraId="60F79BAE" w14:textId="2894EEA9"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_____________________________________________________________________________________________</w:t>
      </w:r>
    </w:p>
    <w:p w14:paraId="161C56CD"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p>
    <w:p w14:paraId="583AC239" w14:textId="77777777" w:rsidR="00D33D17" w:rsidRPr="00D33D17" w:rsidRDefault="00D33D17" w:rsidP="00D33D17">
      <w:pPr>
        <w:spacing w:after="0" w:line="240" w:lineRule="auto"/>
        <w:rPr>
          <w:rFonts w:ascii="Times New Roman" w:eastAsia="Times New Roman" w:hAnsi="Times New Roman" w:cs="Times New Roman"/>
          <w:kern w:val="0"/>
          <w:sz w:val="20"/>
          <w:szCs w:val="20"/>
          <w:u w:val="single"/>
          <w14:ligatures w14:val="none"/>
        </w:rPr>
      </w:pPr>
      <w:r w:rsidRPr="00D33D17">
        <w:rPr>
          <w:rFonts w:ascii="Times New Roman" w:eastAsia="Times New Roman" w:hAnsi="Times New Roman" w:cs="Times New Roman"/>
          <w:kern w:val="0"/>
          <w:sz w:val="20"/>
          <w:szCs w:val="20"/>
          <w:u w:val="single"/>
          <w14:ligatures w14:val="none"/>
        </w:rPr>
        <w:t>Purpose:</w:t>
      </w:r>
    </w:p>
    <w:p w14:paraId="6139F70C" w14:textId="77777777" w:rsidR="00D33D17" w:rsidRPr="00D33D17" w:rsidRDefault="00D33D17" w:rsidP="00D33D17">
      <w:pPr>
        <w:spacing w:after="0" w:line="240" w:lineRule="auto"/>
        <w:rPr>
          <w:rFonts w:ascii="Times New Roman" w:eastAsia="Times New Roman" w:hAnsi="Times New Roman" w:cs="Times New Roman"/>
          <w:kern w:val="0"/>
          <w:sz w:val="20"/>
          <w:szCs w:val="20"/>
          <w:u w:val="single"/>
          <w14:ligatures w14:val="none"/>
        </w:rPr>
      </w:pPr>
    </w:p>
    <w:p w14:paraId="07C7683F"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To identify patients that qualify for transfer to a designated trauma center due to certain specific injuries or combinations of injuries.</w:t>
      </w:r>
    </w:p>
    <w:p w14:paraId="07F6E70C"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p>
    <w:p w14:paraId="260A66A4" w14:textId="77777777" w:rsidR="00D33D17" w:rsidRPr="00D33D17" w:rsidRDefault="00D33D17" w:rsidP="00D33D17">
      <w:pPr>
        <w:spacing w:after="0" w:line="240" w:lineRule="auto"/>
        <w:rPr>
          <w:rFonts w:ascii="Times New Roman" w:eastAsia="Times New Roman" w:hAnsi="Times New Roman" w:cs="Times New Roman"/>
          <w:kern w:val="0"/>
          <w:sz w:val="20"/>
          <w:szCs w:val="20"/>
          <w:u w:val="single"/>
          <w14:ligatures w14:val="none"/>
        </w:rPr>
      </w:pPr>
      <w:r w:rsidRPr="00D33D17">
        <w:rPr>
          <w:rFonts w:ascii="Times New Roman" w:eastAsia="Times New Roman" w:hAnsi="Times New Roman" w:cs="Times New Roman"/>
          <w:kern w:val="0"/>
          <w:sz w:val="20"/>
          <w:szCs w:val="20"/>
          <w:u w:val="single"/>
          <w14:ligatures w14:val="none"/>
        </w:rPr>
        <w:t>General:</w:t>
      </w:r>
    </w:p>
    <w:p w14:paraId="78106CA7" w14:textId="77777777" w:rsidR="00D33D17" w:rsidRPr="00D33D17" w:rsidRDefault="00D33D17" w:rsidP="00D33D17">
      <w:pPr>
        <w:spacing w:after="0" w:line="240" w:lineRule="auto"/>
        <w:rPr>
          <w:rFonts w:ascii="Times New Roman" w:eastAsia="Times New Roman" w:hAnsi="Times New Roman" w:cs="Times New Roman"/>
          <w:kern w:val="0"/>
          <w:sz w:val="20"/>
          <w:szCs w:val="20"/>
          <w:u w:val="single"/>
          <w14:ligatures w14:val="none"/>
        </w:rPr>
      </w:pPr>
    </w:p>
    <w:p w14:paraId="29254306" w14:textId="77777777" w:rsidR="00D33D17" w:rsidRPr="00D33D17" w:rsidRDefault="00D33D17" w:rsidP="00D33D17">
      <w:pPr>
        <w:numPr>
          <w:ilvl w:val="0"/>
          <w:numId w:val="7"/>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The vast majority of injured patients receive their total care in the rural hospital and transfer to a higher level of care is not necessary.</w:t>
      </w:r>
    </w:p>
    <w:p w14:paraId="1588F681" w14:textId="77777777" w:rsidR="00D33D17" w:rsidRPr="00D33D17" w:rsidRDefault="00D33D17" w:rsidP="00D33D17">
      <w:pPr>
        <w:numPr>
          <w:ilvl w:val="0"/>
          <w:numId w:val="7"/>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Physicians should assess their capabilities and those of the institution. This allows for early recognition of patients who may be safely cared for in the local hospital and those who require transfer to an institution that can provide optimal care.</w:t>
      </w:r>
    </w:p>
    <w:p w14:paraId="4265649E" w14:textId="77777777" w:rsidR="00D33D17" w:rsidRPr="00D33D17" w:rsidRDefault="00D33D17" w:rsidP="00D33D17">
      <w:pPr>
        <w:numPr>
          <w:ilvl w:val="0"/>
          <w:numId w:val="7"/>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Once the need for transfer is recognized, arrangements should be expedited and not delayed for diagnostic procedures that do not change the immediate plan of care.</w:t>
      </w:r>
    </w:p>
    <w:p w14:paraId="46D1CC40" w14:textId="77777777" w:rsidR="00D33D17" w:rsidRPr="00D33D17" w:rsidRDefault="00D33D17" w:rsidP="00D33D17">
      <w:pPr>
        <w:numPr>
          <w:ilvl w:val="0"/>
          <w:numId w:val="7"/>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When possible, life-threatening injuries may be stabilized at the rural facility prior to transport. This treatment may require operative intervention to ensure that the patient is in the best possible condition for transfer.</w:t>
      </w:r>
    </w:p>
    <w:p w14:paraId="79959EB2"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p>
    <w:p w14:paraId="7BF5FEA2" w14:textId="77777777" w:rsidR="00D33D17" w:rsidRPr="00D33D17" w:rsidRDefault="00D33D17" w:rsidP="00D33D17">
      <w:pPr>
        <w:spacing w:after="0" w:line="240" w:lineRule="auto"/>
        <w:rPr>
          <w:rFonts w:ascii="Times New Roman" w:eastAsia="Times New Roman" w:hAnsi="Times New Roman" w:cs="Times New Roman"/>
          <w:b/>
          <w:bCs/>
          <w:kern w:val="0"/>
          <w:sz w:val="20"/>
          <w:szCs w:val="20"/>
          <w14:ligatures w14:val="none"/>
        </w:rPr>
      </w:pPr>
      <w:r w:rsidRPr="00D33D17">
        <w:rPr>
          <w:rFonts w:ascii="Times New Roman" w:eastAsia="Times New Roman" w:hAnsi="Times New Roman" w:cs="Times New Roman"/>
          <w:b/>
          <w:bCs/>
          <w:kern w:val="0"/>
          <w:sz w:val="20"/>
          <w:szCs w:val="20"/>
          <w14:ligatures w14:val="none"/>
        </w:rPr>
        <w:t>Initial Evaluation</w:t>
      </w:r>
    </w:p>
    <w:p w14:paraId="27368351"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p>
    <w:p w14:paraId="715874A4" w14:textId="77777777" w:rsidR="00D33D17" w:rsidRPr="00D33D17" w:rsidRDefault="00D33D17" w:rsidP="00D33D17">
      <w:pPr>
        <w:numPr>
          <w:ilvl w:val="0"/>
          <w:numId w:val="8"/>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Perform primary survey and secondary survey.</w:t>
      </w:r>
    </w:p>
    <w:p w14:paraId="697FBCF3" w14:textId="77777777" w:rsidR="00D33D17" w:rsidRPr="00D33D17" w:rsidRDefault="00D33D17" w:rsidP="00D33D17">
      <w:pPr>
        <w:numPr>
          <w:ilvl w:val="0"/>
          <w:numId w:val="8"/>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Imaging.</w:t>
      </w:r>
    </w:p>
    <w:p w14:paraId="64809C67" w14:textId="77777777" w:rsidR="00D33D17" w:rsidRPr="00D33D17" w:rsidRDefault="00D33D17" w:rsidP="00D33D17">
      <w:pPr>
        <w:numPr>
          <w:ilvl w:val="1"/>
          <w:numId w:val="8"/>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CT head.</w:t>
      </w:r>
    </w:p>
    <w:p w14:paraId="34FD0B5D" w14:textId="77777777" w:rsidR="00D33D17" w:rsidRPr="00D33D17" w:rsidRDefault="00D33D17" w:rsidP="00D33D17">
      <w:pPr>
        <w:numPr>
          <w:ilvl w:val="2"/>
          <w:numId w:val="8"/>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Indicated in altered level of consciousness.</w:t>
      </w:r>
    </w:p>
    <w:p w14:paraId="6AA9B07F" w14:textId="77777777" w:rsidR="00D33D17" w:rsidRPr="00D33D17" w:rsidRDefault="00D33D17" w:rsidP="00D33D17">
      <w:pPr>
        <w:numPr>
          <w:ilvl w:val="2"/>
          <w:numId w:val="8"/>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Obtain CT cervical spine at same time as CT head.</w:t>
      </w:r>
    </w:p>
    <w:p w14:paraId="0AE4DD71" w14:textId="77777777" w:rsidR="00D33D17" w:rsidRPr="00D33D17" w:rsidRDefault="00D33D17" w:rsidP="00D33D17">
      <w:pPr>
        <w:numPr>
          <w:ilvl w:val="1"/>
          <w:numId w:val="8"/>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Chest X-ray.</w:t>
      </w:r>
    </w:p>
    <w:p w14:paraId="091001B5" w14:textId="77777777" w:rsidR="00D33D17" w:rsidRPr="00D33D17" w:rsidRDefault="00D33D17" w:rsidP="00D33D17">
      <w:pPr>
        <w:numPr>
          <w:ilvl w:val="2"/>
          <w:numId w:val="8"/>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Repeat after intubation or nasogastric tube placement.</w:t>
      </w:r>
    </w:p>
    <w:p w14:paraId="461E456F" w14:textId="77777777" w:rsidR="00D33D17" w:rsidRPr="00D33D17" w:rsidRDefault="00D33D17" w:rsidP="00D33D17">
      <w:pPr>
        <w:numPr>
          <w:ilvl w:val="1"/>
          <w:numId w:val="8"/>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Consider pelvic X-ray (if suspicion of fracture).</w:t>
      </w:r>
    </w:p>
    <w:p w14:paraId="125A9482" w14:textId="77777777" w:rsidR="00D33D17" w:rsidRPr="00D33D17" w:rsidRDefault="00D33D17" w:rsidP="00D33D17">
      <w:pPr>
        <w:numPr>
          <w:ilvl w:val="1"/>
          <w:numId w:val="8"/>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Focused assessment sonography for trauma (FAST).</w:t>
      </w:r>
    </w:p>
    <w:p w14:paraId="38000942"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p>
    <w:p w14:paraId="746FEE22" w14:textId="77777777" w:rsidR="00D33D17" w:rsidRPr="00D33D17" w:rsidRDefault="00D33D17" w:rsidP="00D33D17">
      <w:pPr>
        <w:spacing w:after="0" w:line="240" w:lineRule="auto"/>
        <w:rPr>
          <w:rFonts w:ascii="Times New Roman" w:eastAsia="Times New Roman" w:hAnsi="Times New Roman" w:cs="Times New Roman"/>
          <w:b/>
          <w:bCs/>
          <w:kern w:val="0"/>
          <w:sz w:val="20"/>
          <w:szCs w:val="20"/>
          <w14:ligatures w14:val="none"/>
        </w:rPr>
      </w:pPr>
      <w:r w:rsidRPr="00D33D17">
        <w:rPr>
          <w:rFonts w:ascii="Times New Roman" w:eastAsia="Times New Roman" w:hAnsi="Times New Roman" w:cs="Times New Roman"/>
          <w:b/>
          <w:bCs/>
          <w:kern w:val="0"/>
          <w:sz w:val="20"/>
          <w:szCs w:val="20"/>
          <w14:ligatures w14:val="none"/>
        </w:rPr>
        <w:t>Initial Management</w:t>
      </w:r>
    </w:p>
    <w:p w14:paraId="050F814C"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p>
    <w:p w14:paraId="3EDFE64C" w14:textId="77777777" w:rsidR="00D33D17" w:rsidRPr="00D33D17" w:rsidRDefault="00D33D17" w:rsidP="00D33D17">
      <w:pPr>
        <w:numPr>
          <w:ilvl w:val="0"/>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Airway: RSI and intubation (or surgical airway).</w:t>
      </w:r>
    </w:p>
    <w:p w14:paraId="2E92D976"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Indicated in unstable airway, respiratory distress, altered mental status (GCS &lt;8).</w:t>
      </w:r>
    </w:p>
    <w:p w14:paraId="52AD5444"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Secure an advanced airway prior to transport if any chance it will be needed enroute.</w:t>
      </w:r>
    </w:p>
    <w:p w14:paraId="5E868AB8"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Confirm endotracheal tube position.</w:t>
      </w:r>
    </w:p>
    <w:p w14:paraId="6A84A2C3"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Ensure adequate sedation and analgesia for transport.</w:t>
      </w:r>
    </w:p>
    <w:p w14:paraId="7D64FE95" w14:textId="77777777" w:rsidR="00D33D17" w:rsidRPr="00D33D17" w:rsidRDefault="00D33D17" w:rsidP="00D33D17">
      <w:pPr>
        <w:spacing w:after="0" w:line="240" w:lineRule="auto"/>
        <w:ind w:left="360"/>
        <w:contextualSpacing/>
        <w:rPr>
          <w:rFonts w:ascii="Times New Roman" w:eastAsia="Times New Roman" w:hAnsi="Times New Roman" w:cs="Times New Roman"/>
          <w:kern w:val="0"/>
          <w:sz w:val="20"/>
          <w:szCs w:val="20"/>
          <w14:ligatures w14:val="none"/>
        </w:rPr>
      </w:pPr>
    </w:p>
    <w:p w14:paraId="2687A1FA" w14:textId="77777777" w:rsidR="00D33D17" w:rsidRPr="00D33D17" w:rsidRDefault="00D33D17" w:rsidP="00D33D17">
      <w:pPr>
        <w:numPr>
          <w:ilvl w:val="0"/>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Chest tube placement (if indicated).</w:t>
      </w:r>
    </w:p>
    <w:p w14:paraId="3C5DB36F" w14:textId="77777777" w:rsidR="00D33D17" w:rsidRPr="00D33D17" w:rsidRDefault="00D33D17" w:rsidP="00D33D17">
      <w:pPr>
        <w:spacing w:after="0" w:line="240" w:lineRule="auto"/>
        <w:ind w:left="360"/>
        <w:contextualSpacing/>
        <w:rPr>
          <w:rFonts w:ascii="Times New Roman" w:eastAsia="Times New Roman" w:hAnsi="Times New Roman" w:cs="Times New Roman"/>
          <w:kern w:val="0"/>
          <w:sz w:val="20"/>
          <w:szCs w:val="20"/>
          <w14:ligatures w14:val="none"/>
        </w:rPr>
      </w:pPr>
    </w:p>
    <w:p w14:paraId="71B98B54" w14:textId="77777777" w:rsidR="00D33D17" w:rsidRPr="00D33D17" w:rsidRDefault="00D33D17" w:rsidP="00D33D17">
      <w:pPr>
        <w:numPr>
          <w:ilvl w:val="0"/>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Vascular access and hemorrhage management.</w:t>
      </w:r>
    </w:p>
    <w:p w14:paraId="762305D5"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Secure intravenous lines (minimum of 2 lines, as large bore as possible).</w:t>
      </w:r>
    </w:p>
    <w:p w14:paraId="38A3A102"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Start blood products prior to transfer if indicated.</w:t>
      </w:r>
    </w:p>
    <w:p w14:paraId="7864A177"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Use O- for women or O- or O+ for men if transferring before type specific blood available.</w:t>
      </w:r>
    </w:p>
    <w:p w14:paraId="479346F8"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Apply tourniquets if needed to control life threatening bleeding.</w:t>
      </w:r>
    </w:p>
    <w:p w14:paraId="781671EE" w14:textId="77777777" w:rsidR="00D33D17" w:rsidRPr="00D33D17" w:rsidRDefault="00D33D17" w:rsidP="00D33D17">
      <w:pPr>
        <w:spacing w:after="0" w:line="240" w:lineRule="auto"/>
        <w:ind w:left="360"/>
        <w:contextualSpacing/>
        <w:rPr>
          <w:rFonts w:ascii="Times New Roman" w:eastAsia="Times New Roman" w:hAnsi="Times New Roman" w:cs="Times New Roman"/>
          <w:kern w:val="0"/>
          <w:sz w:val="20"/>
          <w:szCs w:val="20"/>
          <w14:ligatures w14:val="none"/>
        </w:rPr>
      </w:pPr>
    </w:p>
    <w:p w14:paraId="101DAF80" w14:textId="77777777" w:rsidR="00D33D17" w:rsidRPr="00D33D17" w:rsidRDefault="00D33D17" w:rsidP="00D33D17">
      <w:pPr>
        <w:numPr>
          <w:ilvl w:val="0"/>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Major fracture stabilization.</w:t>
      </w:r>
    </w:p>
    <w:p w14:paraId="5DE274AD"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lastRenderedPageBreak/>
        <w:t>Pelvic stabilization (pelvic binder) for suspected pelvic fracture.</w:t>
      </w:r>
    </w:p>
    <w:p w14:paraId="53A2ED02"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Splinting to prevent fracture movement during transport.</w:t>
      </w:r>
    </w:p>
    <w:p w14:paraId="2C6B4F9A"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Traction splinting.</w:t>
      </w:r>
    </w:p>
    <w:p w14:paraId="2BD993AC" w14:textId="77777777" w:rsidR="00D33D17" w:rsidRPr="00D33D17" w:rsidRDefault="00D33D17" w:rsidP="00D33D17">
      <w:pPr>
        <w:spacing w:after="0" w:line="240" w:lineRule="auto"/>
        <w:ind w:left="360"/>
        <w:contextualSpacing/>
        <w:rPr>
          <w:rFonts w:ascii="Times New Roman" w:eastAsia="Times New Roman" w:hAnsi="Times New Roman" w:cs="Times New Roman"/>
          <w:kern w:val="0"/>
          <w:sz w:val="20"/>
          <w:szCs w:val="20"/>
          <w14:ligatures w14:val="none"/>
        </w:rPr>
      </w:pPr>
    </w:p>
    <w:p w14:paraId="55030753" w14:textId="77777777" w:rsidR="00D33D17" w:rsidRPr="00D33D17" w:rsidRDefault="00D33D17" w:rsidP="00D33D17">
      <w:pPr>
        <w:numPr>
          <w:ilvl w:val="0"/>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Environment.</w:t>
      </w:r>
    </w:p>
    <w:p w14:paraId="703CCCD2"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Maintain patient warmth.</w:t>
      </w:r>
    </w:p>
    <w:p w14:paraId="678A940A" w14:textId="77777777" w:rsidR="00D33D17" w:rsidRPr="00D33D17" w:rsidRDefault="00D33D17" w:rsidP="00D33D17">
      <w:pPr>
        <w:spacing w:after="0" w:line="240" w:lineRule="auto"/>
        <w:ind w:left="360"/>
        <w:contextualSpacing/>
        <w:rPr>
          <w:rFonts w:ascii="Times New Roman" w:eastAsia="Times New Roman" w:hAnsi="Times New Roman" w:cs="Times New Roman"/>
          <w:kern w:val="0"/>
          <w:sz w:val="20"/>
          <w:szCs w:val="20"/>
          <w14:ligatures w14:val="none"/>
        </w:rPr>
      </w:pPr>
    </w:p>
    <w:p w14:paraId="4A5E384C" w14:textId="77777777" w:rsidR="00D33D17" w:rsidRPr="00D33D17" w:rsidRDefault="00D33D17" w:rsidP="00D33D17">
      <w:pPr>
        <w:numPr>
          <w:ilvl w:val="0"/>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Tubes.</w:t>
      </w:r>
    </w:p>
    <w:p w14:paraId="1BA28E55"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Orogastric tube.</w:t>
      </w:r>
    </w:p>
    <w:p w14:paraId="463B1ABC"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Foley catheter.</w:t>
      </w:r>
    </w:p>
    <w:p w14:paraId="647D7F8D" w14:textId="77777777" w:rsidR="00D33D17" w:rsidRPr="00D33D17" w:rsidRDefault="00D33D17" w:rsidP="00D33D17">
      <w:pPr>
        <w:spacing w:after="0" w:line="240" w:lineRule="auto"/>
        <w:ind w:left="360"/>
        <w:contextualSpacing/>
        <w:rPr>
          <w:rFonts w:ascii="Times New Roman" w:eastAsia="Times New Roman" w:hAnsi="Times New Roman" w:cs="Times New Roman"/>
          <w:kern w:val="0"/>
          <w:sz w:val="20"/>
          <w:szCs w:val="20"/>
          <w14:ligatures w14:val="none"/>
        </w:rPr>
      </w:pPr>
    </w:p>
    <w:p w14:paraId="3D933B95" w14:textId="77777777" w:rsidR="00D33D17" w:rsidRPr="00D33D17" w:rsidRDefault="00D33D17" w:rsidP="00D33D17">
      <w:pPr>
        <w:numPr>
          <w:ilvl w:val="0"/>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Other measures.</w:t>
      </w:r>
    </w:p>
    <w:p w14:paraId="5461AA87"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Consider seizure prophylaxis.</w:t>
      </w:r>
    </w:p>
    <w:p w14:paraId="41D7F05C"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Tetanus prophylaxis.</w:t>
      </w:r>
    </w:p>
    <w:p w14:paraId="142CC1CE" w14:textId="77777777" w:rsidR="00D33D17" w:rsidRPr="00D33D17" w:rsidRDefault="00D33D17" w:rsidP="00D33D17">
      <w:pPr>
        <w:numPr>
          <w:ilvl w:val="1"/>
          <w:numId w:val="9"/>
        </w:numPr>
        <w:spacing w:after="0" w:line="240" w:lineRule="auto"/>
        <w:contextualSpacing/>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Antibiotics if indicated.</w:t>
      </w:r>
    </w:p>
    <w:p w14:paraId="1413C126"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p>
    <w:p w14:paraId="54E582F4" w14:textId="77777777" w:rsidR="00D33D17" w:rsidRPr="00D33D17" w:rsidRDefault="00D33D17" w:rsidP="00D33D17">
      <w:pPr>
        <w:spacing w:after="0" w:line="240" w:lineRule="auto"/>
        <w:rPr>
          <w:rFonts w:ascii="Times New Roman" w:eastAsia="Times New Roman" w:hAnsi="Times New Roman" w:cs="Times New Roman"/>
          <w:b/>
          <w:kern w:val="0"/>
          <w:sz w:val="20"/>
          <w:szCs w:val="20"/>
          <w14:ligatures w14:val="none"/>
        </w:rPr>
      </w:pPr>
      <w:r w:rsidRPr="00D33D17">
        <w:rPr>
          <w:rFonts w:ascii="Times New Roman" w:eastAsia="Times New Roman" w:hAnsi="Times New Roman" w:cs="Times New Roman"/>
          <w:b/>
          <w:kern w:val="0"/>
          <w:sz w:val="20"/>
          <w:szCs w:val="20"/>
          <w14:ligatures w14:val="none"/>
        </w:rPr>
        <w:t>Transfer Criteria</w:t>
      </w:r>
    </w:p>
    <w:p w14:paraId="03DDB4AB" w14:textId="77777777" w:rsidR="00D33D17" w:rsidRPr="00D33D17" w:rsidRDefault="00D33D17" w:rsidP="00D33D17">
      <w:pPr>
        <w:spacing w:after="0" w:line="240" w:lineRule="auto"/>
        <w:rPr>
          <w:rFonts w:ascii="Times New Roman" w:eastAsia="Times New Roman" w:hAnsi="Times New Roman" w:cs="Times New Roman"/>
          <w:bCs/>
          <w:kern w:val="0"/>
          <w:sz w:val="20"/>
          <w:szCs w:val="20"/>
          <w14:ligatures w14:val="none"/>
        </w:rPr>
      </w:pPr>
    </w:p>
    <w:p w14:paraId="6B68B86B" w14:textId="77777777" w:rsidR="00D33D17" w:rsidRPr="00D33D17" w:rsidRDefault="00D33D17" w:rsidP="00D33D17">
      <w:pPr>
        <w:numPr>
          <w:ilvl w:val="0"/>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Emergency Transfer: Notify trauma center for immediate consult and/or acceptance. Avoid unnecessary studies that would delay the transfer. The goal is transfer within one hour of arrival.</w:t>
      </w:r>
    </w:p>
    <w:p w14:paraId="2B77D8D5" w14:textId="77777777" w:rsidR="00D33D17" w:rsidRPr="00D33D17" w:rsidRDefault="00D33D17" w:rsidP="00D33D17">
      <w:pPr>
        <w:numPr>
          <w:ilvl w:val="1"/>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Systolic blood pressure &lt;90 mmHg.</w:t>
      </w:r>
    </w:p>
    <w:p w14:paraId="2FC635E0" w14:textId="77777777" w:rsidR="00D33D17" w:rsidRPr="00D33D17" w:rsidRDefault="00D33D17" w:rsidP="00D33D17">
      <w:pPr>
        <w:numPr>
          <w:ilvl w:val="1"/>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Labile blood pressure despite 2 liters of IV fluids or requiring blood products to maintain blood pressure.</w:t>
      </w:r>
    </w:p>
    <w:p w14:paraId="620DABB0" w14:textId="77777777" w:rsidR="00D33D17" w:rsidRPr="00D33D17" w:rsidRDefault="00D33D17" w:rsidP="00D33D17">
      <w:pPr>
        <w:numPr>
          <w:ilvl w:val="1"/>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GCS &lt;8 or lateralizing signs.</w:t>
      </w:r>
    </w:p>
    <w:p w14:paraId="41806C8F" w14:textId="77777777" w:rsidR="00D33D17" w:rsidRPr="00D33D17" w:rsidRDefault="00D33D17" w:rsidP="00D33D17">
      <w:pPr>
        <w:numPr>
          <w:ilvl w:val="1"/>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Penetrating injuries to head, neck, chest or abdomen.</w:t>
      </w:r>
    </w:p>
    <w:p w14:paraId="76D179D2" w14:textId="77777777" w:rsidR="00D33D17" w:rsidRPr="00D33D17" w:rsidRDefault="00D33D17" w:rsidP="00D33D17">
      <w:pPr>
        <w:numPr>
          <w:ilvl w:val="1"/>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Fracture/dislocation with loss of distal pulses and/or ischemia.</w:t>
      </w:r>
    </w:p>
    <w:p w14:paraId="5D3B5F41" w14:textId="77777777" w:rsidR="00D33D17" w:rsidRPr="00D33D17" w:rsidRDefault="00D33D17" w:rsidP="00D33D17">
      <w:pPr>
        <w:numPr>
          <w:ilvl w:val="1"/>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Pelvic ring disruption or unstable pelvic fracture.</w:t>
      </w:r>
    </w:p>
    <w:p w14:paraId="49C22518" w14:textId="77777777" w:rsidR="00D33D17" w:rsidRPr="00D33D17" w:rsidRDefault="00D33D17" w:rsidP="00D33D17">
      <w:pPr>
        <w:numPr>
          <w:ilvl w:val="1"/>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Vascular injuries with active arterial bleeding.</w:t>
      </w:r>
    </w:p>
    <w:p w14:paraId="3815D373" w14:textId="77777777" w:rsidR="00D33D17" w:rsidRPr="00D33D17" w:rsidRDefault="00D33D17" w:rsidP="00D33D17">
      <w:pPr>
        <w:spacing w:after="0" w:line="240" w:lineRule="auto"/>
        <w:ind w:left="360"/>
        <w:contextualSpacing/>
        <w:rPr>
          <w:rFonts w:ascii="Times New Roman" w:eastAsia="Times New Roman" w:hAnsi="Times New Roman" w:cs="Times New Roman"/>
          <w:bCs/>
          <w:kern w:val="0"/>
          <w:sz w:val="20"/>
          <w:szCs w:val="20"/>
          <w14:ligatures w14:val="none"/>
        </w:rPr>
      </w:pPr>
    </w:p>
    <w:p w14:paraId="385DB26D" w14:textId="77777777" w:rsidR="00D33D17" w:rsidRPr="00D33D17" w:rsidRDefault="00D33D17" w:rsidP="00D33D17">
      <w:pPr>
        <w:numPr>
          <w:ilvl w:val="0"/>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Urgent Transfer: Notify trauma center and initiate transfer as soon as any of the following are identified. Avoid unnecessary studies. The goal is transfer within four hours of arrival.</w:t>
      </w:r>
    </w:p>
    <w:p w14:paraId="7D92DCA8" w14:textId="77777777" w:rsidR="00D33D17" w:rsidRPr="00D33D17" w:rsidRDefault="00D33D17" w:rsidP="00D33D17">
      <w:pPr>
        <w:numPr>
          <w:ilvl w:val="1"/>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Physiologic.</w:t>
      </w:r>
    </w:p>
    <w:p w14:paraId="062809CD"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For a child, labile blood pressure despite 20 ml/kg of fluid resuscitation.</w:t>
      </w:r>
    </w:p>
    <w:p w14:paraId="490CBF2F"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Patients requiring blood products to maintain their blood pressure.</w:t>
      </w:r>
    </w:p>
    <w:p w14:paraId="090F5362" w14:textId="77777777" w:rsidR="00D33D17" w:rsidRPr="00D33D17" w:rsidRDefault="00D33D17" w:rsidP="00D33D17">
      <w:pPr>
        <w:numPr>
          <w:ilvl w:val="1"/>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Neck and Thoracic Injuries.</w:t>
      </w:r>
    </w:p>
    <w:p w14:paraId="2BFE79E5"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Tracheobronchial injury.</w:t>
      </w:r>
    </w:p>
    <w:p w14:paraId="5C970EDF"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Esophageal trauma.</w:t>
      </w:r>
    </w:p>
    <w:p w14:paraId="2A226232"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Great vessel injury.</w:t>
      </w:r>
    </w:p>
    <w:p w14:paraId="041DE232"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Major chest wall injury with &gt;3 rib fractures and/or pulmonary contusion.</w:t>
      </w:r>
    </w:p>
    <w:p w14:paraId="097B5D54" w14:textId="77777777" w:rsidR="00D33D17" w:rsidRPr="00D33D17" w:rsidRDefault="00D33D17" w:rsidP="00D33D17">
      <w:pPr>
        <w:numPr>
          <w:ilvl w:val="2"/>
          <w:numId w:val="10"/>
        </w:numPr>
        <w:spacing w:after="0" w:line="240" w:lineRule="auto"/>
        <w:ind w:left="2160"/>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Pneumothorax or hemothorax with respiratory failure.</w:t>
      </w:r>
    </w:p>
    <w:p w14:paraId="5CB805BA" w14:textId="77777777" w:rsidR="00D33D17" w:rsidRPr="00D33D17" w:rsidRDefault="00D33D17" w:rsidP="00D33D17">
      <w:pPr>
        <w:numPr>
          <w:ilvl w:val="2"/>
          <w:numId w:val="10"/>
        </w:numPr>
        <w:spacing w:after="0" w:line="240" w:lineRule="auto"/>
        <w:ind w:left="2160"/>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Known or suspected cardiac injury.</w:t>
      </w:r>
    </w:p>
    <w:p w14:paraId="1AC0A2D7" w14:textId="77777777" w:rsidR="00D33D17" w:rsidRPr="00D33D17" w:rsidRDefault="00D33D17" w:rsidP="00D33D17">
      <w:pPr>
        <w:numPr>
          <w:ilvl w:val="1"/>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Abdominal Injuries.</w:t>
      </w:r>
    </w:p>
    <w:p w14:paraId="6B33C5A7"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Evisceration.</w:t>
      </w:r>
    </w:p>
    <w:p w14:paraId="3C3296AC"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Free air, fluid or solid organ injury on diagnostic testing.</w:t>
      </w:r>
    </w:p>
    <w:p w14:paraId="7BCB19D3" w14:textId="77777777" w:rsidR="00D33D17" w:rsidRPr="00D33D17" w:rsidRDefault="00D33D17" w:rsidP="00D33D17">
      <w:pPr>
        <w:numPr>
          <w:ilvl w:val="1"/>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Burn Injuries.</w:t>
      </w:r>
    </w:p>
    <w:p w14:paraId="39AAAF96"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Second or third-degree thermal or chemical burns involving more than 10% of the total body surface area in patients under 15 years or over 55 years of age.</w:t>
      </w:r>
    </w:p>
    <w:p w14:paraId="641ED1C0"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Second or third-degree thermal or chemical burns involving the face, eyes, ears, hands, feet, genitalia, perineum and major joints.</w:t>
      </w:r>
    </w:p>
    <w:p w14:paraId="0D619ECD"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Third-degree burns greater than 5% of the body surface area in any age group.</w:t>
      </w:r>
    </w:p>
    <w:p w14:paraId="7515CF19"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Electrical burns, including lightning injury.</w:t>
      </w:r>
    </w:p>
    <w:p w14:paraId="60B6EDDD"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Burn injury with inhalational injury.</w:t>
      </w:r>
    </w:p>
    <w:p w14:paraId="64D013D2" w14:textId="77777777" w:rsidR="00D33D17" w:rsidRPr="00D33D17" w:rsidRDefault="00D33D17" w:rsidP="00D33D17">
      <w:pPr>
        <w:numPr>
          <w:ilvl w:val="1"/>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Extremity Injuries.</w:t>
      </w:r>
    </w:p>
    <w:p w14:paraId="1D9545A5"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Amputation of extremity to wrist or ankle.</w:t>
      </w:r>
    </w:p>
    <w:p w14:paraId="029D8311"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Open long-bone fractures.</w:t>
      </w:r>
    </w:p>
    <w:p w14:paraId="6FB9D886"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lastRenderedPageBreak/>
        <w:t>Two or more long bone fracture sites (a radius/ulna or tibia/fibula fracture is considered one site).</w:t>
      </w:r>
    </w:p>
    <w:p w14:paraId="47B4731C"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Crush/mangled extremity injury.</w:t>
      </w:r>
    </w:p>
    <w:p w14:paraId="70B0CF43" w14:textId="77777777" w:rsidR="00D33D17" w:rsidRPr="00D33D17" w:rsidRDefault="00D33D17" w:rsidP="00D33D17">
      <w:pPr>
        <w:numPr>
          <w:ilvl w:val="1"/>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Neurologic Injuries.</w:t>
      </w:r>
    </w:p>
    <w:p w14:paraId="4A0C323A"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GCS deteriorating by 2 points during observation.</w:t>
      </w:r>
    </w:p>
    <w:p w14:paraId="50EFC2B2"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Open or depressed skull fracture.</w:t>
      </w:r>
    </w:p>
    <w:p w14:paraId="190D0886"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Acute spinal cord injury.</w:t>
      </w:r>
    </w:p>
    <w:p w14:paraId="240CB8B3"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Unstable or potentially unstable spinal fractures.</w:t>
      </w:r>
    </w:p>
    <w:p w14:paraId="17167176"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Neurologic deficit.</w:t>
      </w:r>
    </w:p>
    <w:p w14:paraId="530B8BD1" w14:textId="77777777" w:rsidR="00D33D17" w:rsidRPr="00D33D17" w:rsidRDefault="00D33D17" w:rsidP="00D33D17">
      <w:pPr>
        <w:numPr>
          <w:ilvl w:val="1"/>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Pelvic/Urogenital.</w:t>
      </w:r>
    </w:p>
    <w:p w14:paraId="7CFFA37E"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Bladder rupture.</w:t>
      </w:r>
    </w:p>
    <w:p w14:paraId="76301F6B" w14:textId="77777777" w:rsidR="00D33D17" w:rsidRPr="00D33D17" w:rsidRDefault="00D33D17" w:rsidP="00D33D17">
      <w:pPr>
        <w:numPr>
          <w:ilvl w:val="1"/>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Co-Morbid Factors.</w:t>
      </w:r>
    </w:p>
    <w:p w14:paraId="2F323572"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Adults greater than 55 years of age with significant trauma.</w:t>
      </w:r>
    </w:p>
    <w:p w14:paraId="34392DB5"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Significant torso injury with advanced co-morbid disease (cardiac or respiratory disease, insulin-dependent diabetes, morbid obesity, immunosuppression or End Stage Renal Disease requiring dialysis).</w:t>
      </w:r>
    </w:p>
    <w:p w14:paraId="109B43AF"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Patients taking anticoagulant medication or platelet inhibitors.</w:t>
      </w:r>
    </w:p>
    <w:p w14:paraId="2F805CA1"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Children less than 14 years of age with significant trauma.</w:t>
      </w:r>
    </w:p>
    <w:p w14:paraId="6A6E4DF9" w14:textId="77777777" w:rsidR="00D33D17" w:rsidRPr="00D33D17" w:rsidRDefault="00D33D17" w:rsidP="00D33D17">
      <w:pPr>
        <w:numPr>
          <w:ilvl w:val="2"/>
          <w:numId w:val="10"/>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Traumatic injury and pregnancy greater than 20 weeks gestation.</w:t>
      </w:r>
    </w:p>
    <w:p w14:paraId="24B24038" w14:textId="77777777" w:rsidR="00D33D17" w:rsidRPr="00D33D17" w:rsidRDefault="00D33D17" w:rsidP="00D33D17">
      <w:pPr>
        <w:spacing w:after="0" w:line="240" w:lineRule="auto"/>
        <w:rPr>
          <w:rFonts w:ascii="Times New Roman" w:eastAsia="Times New Roman" w:hAnsi="Times New Roman" w:cs="Times New Roman"/>
          <w:bCs/>
          <w:kern w:val="0"/>
          <w:sz w:val="20"/>
          <w:szCs w:val="20"/>
          <w14:ligatures w14:val="none"/>
        </w:rPr>
      </w:pPr>
    </w:p>
    <w:p w14:paraId="65567A5C" w14:textId="77777777" w:rsidR="00D33D17" w:rsidRPr="00D33D17" w:rsidRDefault="00D33D17" w:rsidP="00D33D17">
      <w:pPr>
        <w:spacing w:after="0" w:line="240" w:lineRule="auto"/>
        <w:rPr>
          <w:rFonts w:ascii="Times New Roman" w:eastAsia="Times New Roman" w:hAnsi="Times New Roman" w:cs="Times New Roman"/>
          <w:b/>
          <w:kern w:val="0"/>
          <w:sz w:val="20"/>
          <w:szCs w:val="20"/>
          <w14:ligatures w14:val="none"/>
        </w:rPr>
      </w:pPr>
      <w:r w:rsidRPr="00D33D17">
        <w:rPr>
          <w:rFonts w:ascii="Times New Roman" w:eastAsia="Times New Roman" w:hAnsi="Times New Roman" w:cs="Times New Roman"/>
          <w:b/>
          <w:kern w:val="0"/>
          <w:sz w:val="20"/>
          <w:szCs w:val="20"/>
          <w14:ligatures w14:val="none"/>
        </w:rPr>
        <w:t>Pediatric Trauma Specific Guidelines for Transfer</w:t>
      </w:r>
    </w:p>
    <w:p w14:paraId="41A10958" w14:textId="77777777" w:rsidR="00D33D17" w:rsidRPr="00D33D17" w:rsidRDefault="00D33D17" w:rsidP="00D33D17">
      <w:pPr>
        <w:spacing w:after="0" w:line="240" w:lineRule="auto"/>
        <w:rPr>
          <w:rFonts w:ascii="Times New Roman" w:eastAsia="Times New Roman" w:hAnsi="Times New Roman" w:cs="Times New Roman"/>
          <w:bCs/>
          <w:kern w:val="0"/>
          <w:sz w:val="20"/>
          <w:szCs w:val="20"/>
          <w14:ligatures w14:val="none"/>
        </w:rPr>
      </w:pPr>
    </w:p>
    <w:p w14:paraId="59F03A5A" w14:textId="77777777" w:rsidR="00D33D17" w:rsidRPr="00D33D17" w:rsidRDefault="00D33D17" w:rsidP="00D33D17">
      <w:pPr>
        <w:numPr>
          <w:ilvl w:val="0"/>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Physiologic Criteria:</w:t>
      </w:r>
    </w:p>
    <w:p w14:paraId="6FFB702D"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Depressed or deteriorating neurologic status.</w:t>
      </w:r>
    </w:p>
    <w:p w14:paraId="1C0B5441"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Respiratory distress or failure.</w:t>
      </w:r>
    </w:p>
    <w:p w14:paraId="79ABF649"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Children requiring endotracheal intubation and/or ventilator support.</w:t>
      </w:r>
    </w:p>
    <w:p w14:paraId="551442F5"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Shock, uncompensated or compensated.</w:t>
      </w:r>
    </w:p>
    <w:p w14:paraId="05599556"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Injuries requiring any blood transfusion.</w:t>
      </w:r>
    </w:p>
    <w:p w14:paraId="58C2C009"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Children requiring any one of the following:</w:t>
      </w:r>
    </w:p>
    <w:p w14:paraId="424DF129" w14:textId="77777777" w:rsidR="00D33D17" w:rsidRPr="00D33D17" w:rsidRDefault="00D33D17" w:rsidP="00D33D17">
      <w:pPr>
        <w:numPr>
          <w:ilvl w:val="2"/>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Invasive monitoring (arterial and/or central venous pressure).</w:t>
      </w:r>
    </w:p>
    <w:p w14:paraId="43298E35" w14:textId="77777777" w:rsidR="00D33D17" w:rsidRPr="00D33D17" w:rsidRDefault="00D33D17" w:rsidP="00D33D17">
      <w:pPr>
        <w:numPr>
          <w:ilvl w:val="2"/>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Intracranial pressure monitoring.</w:t>
      </w:r>
    </w:p>
    <w:p w14:paraId="2C4158B4" w14:textId="77777777" w:rsidR="00D33D17" w:rsidRPr="00D33D17" w:rsidRDefault="00D33D17" w:rsidP="00D33D17">
      <w:pPr>
        <w:numPr>
          <w:ilvl w:val="2"/>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Vasoactive medications.</w:t>
      </w:r>
    </w:p>
    <w:p w14:paraId="61F4B5E0" w14:textId="77777777" w:rsidR="00D33D17" w:rsidRPr="00D33D17" w:rsidRDefault="00D33D17" w:rsidP="00D33D17">
      <w:pPr>
        <w:spacing w:after="0" w:line="240" w:lineRule="auto"/>
        <w:ind w:left="1080"/>
        <w:contextualSpacing/>
        <w:rPr>
          <w:rFonts w:ascii="Times New Roman" w:eastAsia="Times New Roman" w:hAnsi="Times New Roman" w:cs="Times New Roman"/>
          <w:bCs/>
          <w:kern w:val="0"/>
          <w:sz w:val="20"/>
          <w:szCs w:val="20"/>
          <w14:ligatures w14:val="none"/>
        </w:rPr>
      </w:pPr>
    </w:p>
    <w:p w14:paraId="03F22CF8" w14:textId="77777777" w:rsidR="00D33D17" w:rsidRPr="00D33D17" w:rsidRDefault="00D33D17" w:rsidP="00D33D17">
      <w:pPr>
        <w:numPr>
          <w:ilvl w:val="0"/>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Anatomic Criteria</w:t>
      </w:r>
    </w:p>
    <w:p w14:paraId="7CB3CA5B"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Fractures and deep penetrating wounds to an extremity complicated by neurovascular or</w:t>
      </w:r>
    </w:p>
    <w:p w14:paraId="186701F8"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compartment injury.</w:t>
      </w:r>
    </w:p>
    <w:p w14:paraId="42C332C7"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Fracture of two or more major long bones (such as femur, humerus).</w:t>
      </w:r>
    </w:p>
    <w:p w14:paraId="557FD229"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Fracture of the axial skeleton.</w:t>
      </w:r>
    </w:p>
    <w:p w14:paraId="23AE4EE1"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Spinal cord column injuries.</w:t>
      </w:r>
    </w:p>
    <w:p w14:paraId="7114DB5C"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Traumatic amputation of an extremity with potential for replantation.</w:t>
      </w:r>
    </w:p>
    <w:p w14:paraId="48305F84"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Head injury when accompanied by any of the following:</w:t>
      </w:r>
    </w:p>
    <w:p w14:paraId="02CD37FA" w14:textId="77777777" w:rsidR="00D33D17" w:rsidRPr="00D33D17" w:rsidRDefault="00D33D17" w:rsidP="00D33D17">
      <w:pPr>
        <w:numPr>
          <w:ilvl w:val="2"/>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Cerebrospinal fluid leaks.</w:t>
      </w:r>
    </w:p>
    <w:p w14:paraId="15E93050" w14:textId="77777777" w:rsidR="00D33D17" w:rsidRPr="00D33D17" w:rsidRDefault="00D33D17" w:rsidP="00D33D17">
      <w:pPr>
        <w:numPr>
          <w:ilvl w:val="2"/>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Open head injuries (excluding simple scalp injuries).</w:t>
      </w:r>
    </w:p>
    <w:p w14:paraId="2DEF3346" w14:textId="77777777" w:rsidR="00D33D17" w:rsidRPr="00D33D17" w:rsidRDefault="00D33D17" w:rsidP="00D33D17">
      <w:pPr>
        <w:numPr>
          <w:ilvl w:val="2"/>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Depressed skull fractures.</w:t>
      </w:r>
    </w:p>
    <w:p w14:paraId="4C8ED67A" w14:textId="77777777" w:rsidR="00D33D17" w:rsidRPr="00D33D17" w:rsidRDefault="00D33D17" w:rsidP="00D33D17">
      <w:pPr>
        <w:numPr>
          <w:ilvl w:val="2"/>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Decreased level of consciousness.</w:t>
      </w:r>
    </w:p>
    <w:p w14:paraId="1EC6DC31" w14:textId="77777777" w:rsidR="00D33D17" w:rsidRPr="00D33D17" w:rsidRDefault="00D33D17" w:rsidP="00D33D17">
      <w:pPr>
        <w:numPr>
          <w:ilvl w:val="2"/>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Intracranial hemorrhage.</w:t>
      </w:r>
    </w:p>
    <w:p w14:paraId="4DF9FD6C"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Significant penetrating wounds to the head, neck, thorax, abdomen, or pelvis.</w:t>
      </w:r>
    </w:p>
    <w:p w14:paraId="0A7BE5DD"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Pelvic fracture.</w:t>
      </w:r>
    </w:p>
    <w:p w14:paraId="4E2E09A7"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Significant blunt injury to the chest or abdomen.</w:t>
      </w:r>
    </w:p>
    <w:p w14:paraId="5735389D" w14:textId="77777777" w:rsidR="00D33D17" w:rsidRPr="00D33D17" w:rsidRDefault="00D33D17" w:rsidP="00D33D17">
      <w:pPr>
        <w:spacing w:after="0" w:line="240" w:lineRule="auto"/>
        <w:rPr>
          <w:rFonts w:ascii="Times New Roman" w:eastAsia="Times New Roman" w:hAnsi="Times New Roman" w:cs="Times New Roman"/>
          <w:bCs/>
          <w:kern w:val="0"/>
          <w:sz w:val="20"/>
          <w:szCs w:val="20"/>
          <w14:ligatures w14:val="none"/>
        </w:rPr>
      </w:pPr>
    </w:p>
    <w:p w14:paraId="2FC9BCEC" w14:textId="77777777" w:rsidR="00D33D17" w:rsidRPr="00D33D17" w:rsidRDefault="00D33D17" w:rsidP="00D33D17">
      <w:pPr>
        <w:numPr>
          <w:ilvl w:val="0"/>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American Burn Association Transfer Criteria for Children:</w:t>
      </w:r>
    </w:p>
    <w:p w14:paraId="69617410"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Second degree burns (partial thickness) of greater than 10% of the body surface area (BSA).</w:t>
      </w:r>
    </w:p>
    <w:p w14:paraId="5AAE6AD8"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Third degree burns (full thickness) in any age group.</w:t>
      </w:r>
    </w:p>
    <w:p w14:paraId="7045C2EC"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Burns involving:</w:t>
      </w:r>
    </w:p>
    <w:p w14:paraId="3F53CB80" w14:textId="77777777" w:rsidR="00D33D17" w:rsidRPr="00D33D17" w:rsidRDefault="00D33D17" w:rsidP="00D33D17">
      <w:pPr>
        <w:numPr>
          <w:ilvl w:val="2"/>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Signs or symptoms of inhalation injury.</w:t>
      </w:r>
    </w:p>
    <w:p w14:paraId="0CB2B968" w14:textId="77777777" w:rsidR="00D33D17" w:rsidRPr="00D33D17" w:rsidRDefault="00D33D17" w:rsidP="00D33D17">
      <w:pPr>
        <w:numPr>
          <w:ilvl w:val="2"/>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Respiratory distress.</w:t>
      </w:r>
    </w:p>
    <w:p w14:paraId="3F7F7E55" w14:textId="77777777" w:rsidR="00D33D17" w:rsidRPr="00D33D17" w:rsidRDefault="00D33D17" w:rsidP="00D33D17">
      <w:pPr>
        <w:numPr>
          <w:ilvl w:val="2"/>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lastRenderedPageBreak/>
        <w:t>The face.</w:t>
      </w:r>
    </w:p>
    <w:p w14:paraId="191E5B86" w14:textId="77777777" w:rsidR="00D33D17" w:rsidRPr="00D33D17" w:rsidRDefault="00D33D17" w:rsidP="00D33D17">
      <w:pPr>
        <w:numPr>
          <w:ilvl w:val="2"/>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The ears (serious full thickness burns or burns involving the ear canal or drums).</w:t>
      </w:r>
    </w:p>
    <w:p w14:paraId="3CA9D296" w14:textId="77777777" w:rsidR="00D33D17" w:rsidRPr="00D33D17" w:rsidRDefault="00D33D17" w:rsidP="00D33D17">
      <w:pPr>
        <w:numPr>
          <w:ilvl w:val="2"/>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The mouth and throat.</w:t>
      </w:r>
    </w:p>
    <w:p w14:paraId="5A009317" w14:textId="77777777" w:rsidR="00D33D17" w:rsidRPr="00D33D17" w:rsidRDefault="00D33D17" w:rsidP="00D33D17">
      <w:pPr>
        <w:numPr>
          <w:ilvl w:val="2"/>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Deep or excessive burns of the hands, feet, genitalia, major joints, or perineum.</w:t>
      </w:r>
    </w:p>
    <w:p w14:paraId="6317C7F3"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Electrical injury or burn (including lightening).</w:t>
      </w:r>
    </w:p>
    <w:p w14:paraId="225E9304"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Burns associated with trauma or complicating medical conditions.</w:t>
      </w:r>
    </w:p>
    <w:p w14:paraId="213ABCD9"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Chemical burns.</w:t>
      </w:r>
    </w:p>
    <w:p w14:paraId="656B93BE"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Burn injury in patients who will require special social, emotional, or rehabilitative intervention.</w:t>
      </w:r>
    </w:p>
    <w:p w14:paraId="6B0FC1BA" w14:textId="77777777" w:rsidR="00D33D17" w:rsidRPr="00D33D17" w:rsidRDefault="00D33D17" w:rsidP="00D33D17">
      <w:pPr>
        <w:spacing w:after="0" w:line="240" w:lineRule="auto"/>
        <w:rPr>
          <w:rFonts w:ascii="Times New Roman" w:eastAsia="Times New Roman" w:hAnsi="Times New Roman" w:cs="Times New Roman"/>
          <w:bCs/>
          <w:kern w:val="0"/>
          <w:sz w:val="20"/>
          <w:szCs w:val="20"/>
          <w14:ligatures w14:val="none"/>
        </w:rPr>
      </w:pPr>
    </w:p>
    <w:p w14:paraId="5687F760" w14:textId="77777777" w:rsidR="00D33D17" w:rsidRPr="00D33D17" w:rsidRDefault="00D33D17" w:rsidP="00D33D17">
      <w:pPr>
        <w:numPr>
          <w:ilvl w:val="0"/>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Other Criteria for Pediatric Transfer:</w:t>
      </w:r>
    </w:p>
    <w:p w14:paraId="392A12FD"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Children requiring pediatric intensive care other than for close observation.</w:t>
      </w:r>
    </w:p>
    <w:p w14:paraId="1E274A15"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Any child who may benefit from consultation with, or transfer to, a Pediatric Trauma Center or a Pediatric Intensive Care Unit.</w:t>
      </w:r>
    </w:p>
    <w:p w14:paraId="6451B6C2" w14:textId="77777777" w:rsidR="00D33D17" w:rsidRPr="00D33D17" w:rsidRDefault="00D33D17" w:rsidP="00D33D17">
      <w:pPr>
        <w:spacing w:after="0" w:line="240" w:lineRule="auto"/>
        <w:rPr>
          <w:rFonts w:ascii="Times New Roman" w:eastAsia="Times New Roman" w:hAnsi="Times New Roman" w:cs="Times New Roman"/>
          <w:bCs/>
          <w:kern w:val="0"/>
          <w:sz w:val="20"/>
          <w:szCs w:val="20"/>
          <w14:ligatures w14:val="none"/>
        </w:rPr>
      </w:pPr>
    </w:p>
    <w:p w14:paraId="2DDD13FC" w14:textId="77777777" w:rsidR="00D33D17" w:rsidRPr="00D33D17" w:rsidRDefault="00D33D17" w:rsidP="00D33D17">
      <w:pPr>
        <w:numPr>
          <w:ilvl w:val="0"/>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Recommendations for Pediatric Trauma Transfer:</w:t>
      </w:r>
    </w:p>
    <w:p w14:paraId="1554666B"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Immediately contact Pediatric Capable Trauma Center for consultation with Pediatric Trauma Surgeon.</w:t>
      </w:r>
    </w:p>
    <w:p w14:paraId="61E9CF5E" w14:textId="77777777" w:rsidR="00D33D17" w:rsidRPr="00D33D17" w:rsidRDefault="00D33D17" w:rsidP="00D33D17">
      <w:pPr>
        <w:numPr>
          <w:ilvl w:val="1"/>
          <w:numId w:val="11"/>
        </w:numPr>
        <w:spacing w:after="0" w:line="240" w:lineRule="auto"/>
        <w:contextualSpacing/>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Immediately request activation of Pediatric Capable Flight Team for patient transport.</w:t>
      </w:r>
    </w:p>
    <w:p w14:paraId="61C52156" w14:textId="77777777" w:rsidR="00D33D17" w:rsidRPr="00D33D17" w:rsidRDefault="00D33D17" w:rsidP="00D33D17">
      <w:pPr>
        <w:spacing w:after="0" w:line="240" w:lineRule="auto"/>
        <w:rPr>
          <w:rFonts w:ascii="Times New Roman" w:eastAsia="Times New Roman" w:hAnsi="Times New Roman" w:cs="Times New Roman"/>
          <w:bCs/>
          <w:kern w:val="0"/>
          <w:sz w:val="20"/>
          <w:szCs w:val="20"/>
          <w14:ligatures w14:val="none"/>
        </w:rPr>
      </w:pPr>
    </w:p>
    <w:p w14:paraId="629CD86D" w14:textId="77777777" w:rsidR="00D33D17" w:rsidRPr="00D33D17" w:rsidRDefault="00D33D17" w:rsidP="00D33D17">
      <w:pPr>
        <w:spacing w:after="0" w:line="240" w:lineRule="auto"/>
        <w:rPr>
          <w:rFonts w:ascii="Times New Roman" w:eastAsia="Times New Roman" w:hAnsi="Times New Roman" w:cs="Times New Roman"/>
          <w:b/>
          <w:kern w:val="0"/>
          <w:sz w:val="20"/>
          <w:szCs w:val="20"/>
          <w14:ligatures w14:val="none"/>
        </w:rPr>
      </w:pPr>
      <w:r w:rsidRPr="00D33D17">
        <w:rPr>
          <w:rFonts w:ascii="Times New Roman" w:eastAsia="Times New Roman" w:hAnsi="Times New Roman" w:cs="Times New Roman"/>
          <w:b/>
          <w:kern w:val="0"/>
          <w:sz w:val="20"/>
          <w:szCs w:val="20"/>
          <w14:ligatures w14:val="none"/>
        </w:rPr>
        <w:t>Disposition</w:t>
      </w:r>
    </w:p>
    <w:p w14:paraId="3627B4ED" w14:textId="77777777" w:rsidR="00D33D17" w:rsidRPr="00D33D17" w:rsidRDefault="00D33D17" w:rsidP="00D33D17">
      <w:pPr>
        <w:spacing w:after="0" w:line="240" w:lineRule="auto"/>
        <w:rPr>
          <w:rFonts w:ascii="Times New Roman" w:eastAsia="Times New Roman" w:hAnsi="Times New Roman" w:cs="Times New Roman"/>
          <w:bCs/>
          <w:kern w:val="0"/>
          <w:sz w:val="20"/>
          <w:szCs w:val="20"/>
          <w14:ligatures w14:val="none"/>
        </w:rPr>
      </w:pPr>
    </w:p>
    <w:p w14:paraId="2C54AE15" w14:textId="77777777" w:rsidR="00D33D17" w:rsidRPr="00D33D17" w:rsidRDefault="00D33D17" w:rsidP="00D33D17">
      <w:pPr>
        <w:spacing w:after="0" w:line="240" w:lineRule="auto"/>
        <w:rPr>
          <w:rFonts w:ascii="Times New Roman" w:eastAsia="Times New Roman" w:hAnsi="Times New Roman" w:cs="Times New Roman"/>
          <w:bCs/>
          <w:kern w:val="0"/>
          <w:sz w:val="20"/>
          <w:szCs w:val="20"/>
          <w14:ligatures w14:val="none"/>
        </w:rPr>
      </w:pPr>
      <w:r w:rsidRPr="00D33D17">
        <w:rPr>
          <w:rFonts w:ascii="Times New Roman" w:eastAsia="Times New Roman" w:hAnsi="Times New Roman" w:cs="Times New Roman"/>
          <w:bCs/>
          <w:kern w:val="0"/>
          <w:sz w:val="20"/>
          <w:szCs w:val="20"/>
          <w14:ligatures w14:val="none"/>
        </w:rPr>
        <w:t>Appropriate consult and/or transfer to designated medical facility as warranted by patient’s condition.</w:t>
      </w:r>
    </w:p>
    <w:p w14:paraId="47A72821" w14:textId="77777777" w:rsidR="00D33D17" w:rsidRPr="00D33D17" w:rsidRDefault="00D33D17" w:rsidP="00D33D17">
      <w:pPr>
        <w:spacing w:after="0" w:line="240" w:lineRule="auto"/>
        <w:rPr>
          <w:rFonts w:ascii="Times New Roman" w:eastAsia="Times New Roman" w:hAnsi="Times New Roman" w:cs="Times New Roman"/>
          <w:bCs/>
          <w:kern w:val="0"/>
          <w:sz w:val="20"/>
          <w:szCs w:val="20"/>
          <w14:ligatures w14:val="none"/>
        </w:rPr>
      </w:pPr>
    </w:p>
    <w:p w14:paraId="72BB6548" w14:textId="77777777" w:rsidR="00D33D17" w:rsidRPr="00D33D17" w:rsidRDefault="00D33D17" w:rsidP="00D33D17">
      <w:pPr>
        <w:spacing w:after="0" w:line="240" w:lineRule="auto"/>
        <w:rPr>
          <w:rFonts w:ascii="Times New Roman" w:eastAsia="Times New Roman" w:hAnsi="Times New Roman" w:cs="Times New Roman"/>
          <w:bCs/>
          <w:kern w:val="0"/>
          <w:sz w:val="20"/>
          <w:szCs w:val="20"/>
          <w:u w:val="single"/>
          <w14:ligatures w14:val="none"/>
        </w:rPr>
      </w:pPr>
      <w:r w:rsidRPr="00D33D17">
        <w:rPr>
          <w:rFonts w:ascii="Times New Roman" w:eastAsia="Times New Roman" w:hAnsi="Times New Roman" w:cs="Times New Roman"/>
          <w:bCs/>
          <w:kern w:val="0"/>
          <w:sz w:val="20"/>
          <w:szCs w:val="20"/>
          <w:u w:val="single"/>
          <w14:ligatures w14:val="none"/>
        </w:rPr>
        <w:t>Bibliography:</w:t>
      </w:r>
    </w:p>
    <w:p w14:paraId="1A297F8F"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p>
    <w:p w14:paraId="450F42ED"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American College of Surgeons, Committee on Trauma (2002) Interfacility Transfer of Injured Patients: Guidelines for Rural Communities.</w:t>
      </w:r>
    </w:p>
    <w:p w14:paraId="75875DDA"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p>
    <w:p w14:paraId="652879A4"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South Dakota EMSC and Sandford, University of South Dakota Medical Center. (2011) Pediatric Consultation and Transfer Guidelines. Retrieved from EMSCimprovementcenter.com.</w:t>
      </w:r>
    </w:p>
    <w:p w14:paraId="5CCF75BF"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p>
    <w:p w14:paraId="1DE5132E" w14:textId="77777777" w:rsidR="00D33D17" w:rsidRPr="00D33D17" w:rsidRDefault="00D33D17" w:rsidP="00D33D17">
      <w:pPr>
        <w:spacing w:after="0" w:line="240" w:lineRule="auto"/>
        <w:rPr>
          <w:rFonts w:ascii="Times New Roman" w:eastAsia="Times New Roman" w:hAnsi="Times New Roman" w:cs="Times New Roman"/>
          <w:kern w:val="0"/>
          <w:sz w:val="20"/>
          <w:szCs w:val="20"/>
          <w:u w:val="single"/>
          <w14:ligatures w14:val="none"/>
        </w:rPr>
      </w:pPr>
      <w:r w:rsidRPr="00D33D17">
        <w:rPr>
          <w:rFonts w:ascii="Times New Roman" w:eastAsia="Times New Roman" w:hAnsi="Times New Roman" w:cs="Times New Roman"/>
          <w:kern w:val="0"/>
          <w:sz w:val="20"/>
          <w:szCs w:val="20"/>
          <w:u w:val="single"/>
          <w14:ligatures w14:val="none"/>
        </w:rPr>
        <w:t>Rescission:</w:t>
      </w:r>
    </w:p>
    <w:p w14:paraId="781D89AC"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p>
    <w:p w14:paraId="20379402"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This policy rescinds and replaces AVH Hospital Document, Guidelines for Trauma Transfer, dated May 31, 2022.</w:t>
      </w:r>
    </w:p>
    <w:p w14:paraId="0F35C268"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p>
    <w:p w14:paraId="1C6FD3AB"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p>
    <w:p w14:paraId="09181054" w14:textId="46EBBB4A"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___________________________________________</w:t>
      </w:r>
      <w:r>
        <w:rPr>
          <w:rFonts w:ascii="Times New Roman" w:eastAsia="Times New Roman" w:hAnsi="Times New Roman" w:cs="Times New Roman"/>
          <w:kern w:val="0"/>
          <w:sz w:val="20"/>
          <w:szCs w:val="20"/>
          <w14:ligatures w14:val="none"/>
        </w:rPr>
        <w:t xml:space="preserve">             </w:t>
      </w:r>
      <w:r w:rsidRPr="00D33D17">
        <w:rPr>
          <w:rFonts w:ascii="Times New Roman" w:eastAsia="Times New Roman" w:hAnsi="Times New Roman" w:cs="Times New Roman"/>
          <w:kern w:val="0"/>
          <w:sz w:val="20"/>
          <w:szCs w:val="20"/>
          <w14:ligatures w14:val="none"/>
        </w:rPr>
        <w:t>____________________________________________</w:t>
      </w:r>
      <w:r w:rsidRPr="00D33D17">
        <w:rPr>
          <w:rFonts w:ascii="Times New Roman" w:eastAsia="Times New Roman" w:hAnsi="Times New Roman" w:cs="Times New Roman"/>
          <w:kern w:val="0"/>
          <w:sz w:val="20"/>
          <w:szCs w:val="20"/>
          <w14:ligatures w14:val="none"/>
        </w:rPr>
        <w:tab/>
      </w:r>
    </w:p>
    <w:p w14:paraId="7B372BBF" w14:textId="6CDADE29" w:rsidR="00D33D17" w:rsidRPr="00D33D17" w:rsidRDefault="00D33D17" w:rsidP="00D33D17">
      <w:pPr>
        <w:autoSpaceDE w:val="0"/>
        <w:autoSpaceDN w:val="0"/>
        <w:adjustRightInd w:val="0"/>
        <w:spacing w:after="0" w:line="240" w:lineRule="auto"/>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Director, Emergency Department</w:t>
      </w:r>
      <w:r w:rsidRPr="00D33D17">
        <w:rPr>
          <w:rFonts w:ascii="Times New Roman" w:eastAsia="Times New Roman" w:hAnsi="Times New Roman" w:cs="Times New Roman"/>
          <w:kern w:val="0"/>
          <w:sz w:val="20"/>
          <w:szCs w:val="20"/>
          <w14:ligatures w14:val="none"/>
        </w:rPr>
        <w:tab/>
      </w:r>
      <w:r w:rsidRPr="00D33D17">
        <w:rPr>
          <w:rFonts w:ascii="Times New Roman" w:eastAsia="Times New Roman" w:hAnsi="Times New Roman" w:cs="Times New Roman"/>
          <w:kern w:val="0"/>
          <w:sz w:val="20"/>
          <w:szCs w:val="20"/>
          <w14:ligatures w14:val="none"/>
        </w:rPr>
        <w:tab/>
      </w:r>
      <w:r w:rsidRPr="00D33D17">
        <w:rPr>
          <w:rFonts w:ascii="Times New Roman" w:eastAsia="Times New Roman" w:hAnsi="Times New Roman" w:cs="Times New Roman"/>
          <w:kern w:val="0"/>
          <w:sz w:val="20"/>
          <w:szCs w:val="20"/>
          <w14:ligatures w14:val="none"/>
        </w:rPr>
        <w:tab/>
      </w:r>
      <w:r w:rsidRPr="00D33D17">
        <w:rPr>
          <w:rFonts w:ascii="Times New Roman" w:eastAsia="Times New Roman" w:hAnsi="Times New Roman" w:cs="Times New Roman"/>
          <w:kern w:val="0"/>
          <w:sz w:val="20"/>
          <w:szCs w:val="20"/>
          <w14:ligatures w14:val="none"/>
        </w:rPr>
        <w:tab/>
        <w:t>Chief Nursing Officer/VP, Patient Care Services</w:t>
      </w:r>
    </w:p>
    <w:p w14:paraId="0E96384C" w14:textId="7777777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p>
    <w:p w14:paraId="2C924D7D" w14:textId="77A409CD"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                                                                                                                                </w:t>
      </w:r>
      <w:r w:rsidRPr="00D33D17">
        <w:rPr>
          <w:rFonts w:ascii="Times New Roman" w:eastAsia="Times New Roman" w:hAnsi="Times New Roman" w:cs="Times New Roman"/>
          <w:kern w:val="0"/>
          <w:sz w:val="20"/>
          <w:szCs w:val="20"/>
          <w14:ligatures w14:val="none"/>
        </w:rPr>
        <w:t>____________________________________________</w:t>
      </w:r>
      <w:r w:rsidRPr="00D33D17">
        <w:rPr>
          <w:rFonts w:ascii="Times New Roman" w:eastAsia="Times New Roman" w:hAnsi="Times New Roman" w:cs="Times New Roman"/>
          <w:kern w:val="0"/>
          <w:sz w:val="20"/>
          <w:szCs w:val="20"/>
          <w14:ligatures w14:val="none"/>
        </w:rPr>
        <w:tab/>
      </w:r>
      <w:r>
        <w:rPr>
          <w:rFonts w:ascii="Times New Roman" w:eastAsia="Times New Roman" w:hAnsi="Times New Roman" w:cs="Times New Roman"/>
          <w:kern w:val="0"/>
          <w:sz w:val="20"/>
          <w:szCs w:val="20"/>
          <w14:ligatures w14:val="none"/>
        </w:rPr>
        <w:t xml:space="preserve"> </w:t>
      </w:r>
      <w:r w:rsidRPr="00D33D17">
        <w:rPr>
          <w:rFonts w:ascii="Times New Roman" w:eastAsia="Times New Roman" w:hAnsi="Times New Roman" w:cs="Times New Roman"/>
          <w:kern w:val="0"/>
          <w:sz w:val="20"/>
          <w:szCs w:val="20"/>
          <w14:ligatures w14:val="none"/>
        </w:rPr>
        <w:t>________________________</w:t>
      </w:r>
      <w:r>
        <w:rPr>
          <w:rFonts w:ascii="Times New Roman" w:eastAsia="Times New Roman" w:hAnsi="Times New Roman" w:cs="Times New Roman"/>
          <w:kern w:val="0"/>
          <w:sz w:val="20"/>
          <w:szCs w:val="20"/>
          <w14:ligatures w14:val="none"/>
        </w:rPr>
        <w:t>__________________</w:t>
      </w:r>
    </w:p>
    <w:p w14:paraId="03B38569" w14:textId="638C4C17" w:rsidR="00D33D17" w:rsidRPr="00D33D17" w:rsidRDefault="00D33D17" w:rsidP="00D33D17">
      <w:pPr>
        <w:spacing w:after="0" w:line="240" w:lineRule="auto"/>
        <w:rPr>
          <w:rFonts w:ascii="Times New Roman" w:eastAsia="Times New Roman" w:hAnsi="Times New Roman" w:cs="Times New Roman"/>
          <w:kern w:val="0"/>
          <w:sz w:val="20"/>
          <w:szCs w:val="20"/>
          <w14:ligatures w14:val="none"/>
        </w:rPr>
      </w:pPr>
      <w:r w:rsidRPr="00D33D17">
        <w:rPr>
          <w:rFonts w:ascii="Times New Roman" w:eastAsia="Times New Roman" w:hAnsi="Times New Roman" w:cs="Times New Roman"/>
          <w:kern w:val="0"/>
          <w:sz w:val="20"/>
          <w:szCs w:val="20"/>
          <w14:ligatures w14:val="none"/>
        </w:rPr>
        <w:t>Medical Director, Emergency Department</w:t>
      </w:r>
      <w:r w:rsidRPr="00D33D17">
        <w:rPr>
          <w:rFonts w:ascii="Times New Roman" w:eastAsia="Times New Roman" w:hAnsi="Times New Roman" w:cs="Times New Roman"/>
          <w:kern w:val="0"/>
          <w:sz w:val="20"/>
          <w:szCs w:val="20"/>
          <w14:ligatures w14:val="none"/>
        </w:rPr>
        <w:tab/>
      </w:r>
      <w:r w:rsidRPr="00D33D17">
        <w:rPr>
          <w:rFonts w:ascii="Times New Roman" w:eastAsia="Times New Roman" w:hAnsi="Times New Roman" w:cs="Times New Roman"/>
          <w:kern w:val="0"/>
          <w:sz w:val="20"/>
          <w:szCs w:val="20"/>
          <w14:ligatures w14:val="none"/>
        </w:rPr>
        <w:tab/>
      </w:r>
      <w:r w:rsidRPr="00D33D17">
        <w:rPr>
          <w:rFonts w:ascii="Times New Roman" w:eastAsia="Times New Roman" w:hAnsi="Times New Roman" w:cs="Times New Roman"/>
          <w:kern w:val="0"/>
          <w:sz w:val="20"/>
          <w:szCs w:val="20"/>
          <w14:ligatures w14:val="none"/>
        </w:rPr>
        <w:tab/>
        <w:t>Medical Staff Executive Committee</w:t>
      </w:r>
    </w:p>
    <w:p w14:paraId="60562965" w14:textId="77777777" w:rsidR="00025848" w:rsidRDefault="00025848" w:rsidP="00025848"/>
    <w:sectPr w:rsidR="0002584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211F"/>
    <w:multiLevelType w:val="hybridMultilevel"/>
    <w:tmpl w:val="03148928"/>
    <w:lvl w:ilvl="0" w:tplc="417ED72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B38D6"/>
    <w:multiLevelType w:val="hybridMultilevel"/>
    <w:tmpl w:val="4F0AA918"/>
    <w:lvl w:ilvl="0" w:tplc="7D602B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9F2678C"/>
    <w:multiLevelType w:val="hybridMultilevel"/>
    <w:tmpl w:val="D090A846"/>
    <w:lvl w:ilvl="0" w:tplc="C61EFDC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ADD1910"/>
    <w:multiLevelType w:val="hybridMultilevel"/>
    <w:tmpl w:val="562AFF5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9E6197"/>
    <w:multiLevelType w:val="hybridMultilevel"/>
    <w:tmpl w:val="59B265D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9D23A54"/>
    <w:multiLevelType w:val="hybridMultilevel"/>
    <w:tmpl w:val="0B7AAEC2"/>
    <w:lvl w:ilvl="0" w:tplc="5F48C6A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0910CE6"/>
    <w:multiLevelType w:val="hybridMultilevel"/>
    <w:tmpl w:val="15000004"/>
    <w:lvl w:ilvl="0" w:tplc="7528F8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DF25691"/>
    <w:multiLevelType w:val="hybridMultilevel"/>
    <w:tmpl w:val="F906FF3A"/>
    <w:lvl w:ilvl="0" w:tplc="2174C69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54E28FB"/>
    <w:multiLevelType w:val="hybridMultilevel"/>
    <w:tmpl w:val="A60EF7B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2951DA6"/>
    <w:multiLevelType w:val="hybridMultilevel"/>
    <w:tmpl w:val="4FE43B8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7A71EA8"/>
    <w:multiLevelType w:val="hybridMultilevel"/>
    <w:tmpl w:val="D66A356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340350582">
    <w:abstractNumId w:val="7"/>
  </w:num>
  <w:num w:numId="2" w16cid:durableId="1479107497">
    <w:abstractNumId w:val="1"/>
  </w:num>
  <w:num w:numId="3" w16cid:durableId="1607081848">
    <w:abstractNumId w:val="6"/>
  </w:num>
  <w:num w:numId="4" w16cid:durableId="79761868">
    <w:abstractNumId w:val="2"/>
  </w:num>
  <w:num w:numId="5" w16cid:durableId="182059819">
    <w:abstractNumId w:val="0"/>
  </w:num>
  <w:num w:numId="6" w16cid:durableId="481309809">
    <w:abstractNumId w:val="5"/>
  </w:num>
  <w:num w:numId="7" w16cid:durableId="1804999472">
    <w:abstractNumId w:val="8"/>
  </w:num>
  <w:num w:numId="8" w16cid:durableId="1162896428">
    <w:abstractNumId w:val="4"/>
  </w:num>
  <w:num w:numId="9" w16cid:durableId="1294796448">
    <w:abstractNumId w:val="9"/>
  </w:num>
  <w:num w:numId="10" w16cid:durableId="2039305820">
    <w:abstractNumId w:val="3"/>
  </w:num>
  <w:num w:numId="11" w16cid:durableId="6511785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C8C"/>
    <w:rsid w:val="00025848"/>
    <w:rsid w:val="001B2EDF"/>
    <w:rsid w:val="0025124F"/>
    <w:rsid w:val="002A168C"/>
    <w:rsid w:val="00407E46"/>
    <w:rsid w:val="00524C8C"/>
    <w:rsid w:val="0059085E"/>
    <w:rsid w:val="008028F8"/>
    <w:rsid w:val="00D33D17"/>
    <w:rsid w:val="00E924E6"/>
    <w:rsid w:val="00FB0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20412"/>
  <w15:chartTrackingRefBased/>
  <w15:docId w15:val="{AADE4D03-AF10-4EDD-B2E1-979AD5B8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24E6"/>
    <w:pPr>
      <w:spacing w:after="200" w:line="276" w:lineRule="auto"/>
      <w:ind w:left="720"/>
      <w:contextualSpacing/>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1299</Words>
  <Characters>7406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Tammy L Berthiaume</dc:creator>
  <cp:keywords/>
  <dc:description/>
  <cp:lastModifiedBy>Tammy L Berthiaume</cp:lastModifiedBy>
  <cp:revision>4</cp:revision>
  <dcterms:created xsi:type="dcterms:W3CDTF">2024-10-20T18:22:00Z</dcterms:created>
  <dcterms:modified xsi:type="dcterms:W3CDTF">2024-11-04T21:36:00Z</dcterms:modified>
</cp:coreProperties>
</file>